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707D" w14:textId="1C61ED81" w:rsidR="00EE2C2F" w:rsidRPr="003D3E2B" w:rsidRDefault="007F3EC2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</w:pPr>
      <w:r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F1D6DD1" wp14:editId="442602F5">
            <wp:simplePos x="0" y="0"/>
            <wp:positionH relativeFrom="column">
              <wp:posOffset>2708724</wp:posOffset>
            </wp:positionH>
            <wp:positionV relativeFrom="paragraph">
              <wp:posOffset>-1873250</wp:posOffset>
            </wp:positionV>
            <wp:extent cx="2043952" cy="2043952"/>
            <wp:effectExtent l="0" t="0" r="0" b="0"/>
            <wp:wrapNone/>
            <wp:docPr id="1323010010" name="Picture 2" descr="A black circle with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10010" name="Picture 2" descr="A black circle with orange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952" cy="204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2F"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JOB DESCRIPTION:</w:t>
      </w:r>
      <w:r w:rsidR="00EE2C2F" w:rsidRPr="003D3E2B">
        <w:rPr>
          <w:rFonts w:eastAsiaTheme="majorEastAsia" w:cstheme="minorHAnsi"/>
          <w:b/>
          <w:bCs/>
          <w:noProof/>
          <w:color w:val="E26A11" w:themeColor="text1"/>
          <w:sz w:val="24"/>
          <w:szCs w:val="24"/>
          <w:lang w:eastAsia="en-GB"/>
        </w:rPr>
        <w:t xml:space="preserve"> </w:t>
      </w:r>
      <w:r w:rsidR="009B63C9" w:rsidRPr="009B63C9">
        <w:rPr>
          <w:rFonts w:eastAsiaTheme="majorEastAsia" w:cstheme="minorHAnsi"/>
          <w:b/>
          <w:bCs/>
          <w:noProof/>
          <w:color w:val="2E3036" w:themeColor="text2"/>
          <w:sz w:val="24"/>
          <w:szCs w:val="24"/>
          <w:lang w:eastAsia="en-GB"/>
        </w:rPr>
        <w:t xml:space="preserve">Data Analyst </w:t>
      </w:r>
    </w:p>
    <w:p w14:paraId="76924D11" w14:textId="0AF598BC" w:rsidR="00EE2C2F" w:rsidRDefault="00EE2C2F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2E3036"/>
          <w:sz w:val="24"/>
          <w:szCs w:val="24"/>
          <w:lang w:eastAsia="en-GB"/>
        </w:rPr>
      </w:pPr>
      <w:r w:rsidRPr="003D3E2B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POSTHOLDER</w:t>
      </w:r>
      <w:r w:rsidRPr="00A36E07"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>:</w:t>
      </w:r>
      <w:r>
        <w:rPr>
          <w:rFonts w:eastAsiaTheme="majorEastAsia" w:cstheme="minorHAnsi"/>
          <w:b/>
          <w:bCs/>
          <w:noProof/>
          <w:color w:val="E26A11" w:themeColor="text1"/>
          <w:spacing w:val="40"/>
          <w:sz w:val="24"/>
          <w:szCs w:val="24"/>
          <w:lang w:eastAsia="en-GB"/>
        </w:rPr>
        <w:t xml:space="preserve"> </w:t>
      </w:r>
      <w:r w:rsidR="007F3EC2" w:rsidRPr="003D3E2B">
        <w:rPr>
          <w:rFonts w:eastAsiaTheme="majorEastAsia" w:cstheme="minorHAnsi"/>
          <w:b/>
          <w:bCs/>
          <w:noProof/>
          <w:color w:val="2E3036" w:themeColor="text2"/>
          <w:lang w:eastAsia="en-GB"/>
        </w:rPr>
        <w:t>To be Appointed</w:t>
      </w:r>
    </w:p>
    <w:p w14:paraId="13FB3630" w14:textId="6E5E036A" w:rsidR="007F3EC2" w:rsidRPr="007F3EC2" w:rsidRDefault="007F3EC2" w:rsidP="007F3EC2">
      <w:pPr>
        <w:spacing w:after="0"/>
        <w:ind w:left="709" w:hanging="709"/>
        <w:rPr>
          <w:rFonts w:eastAsiaTheme="majorEastAsia" w:cstheme="minorHAnsi"/>
          <w:b/>
          <w:bCs/>
          <w:noProof/>
          <w:color w:val="2E3036"/>
          <w:sz w:val="24"/>
          <w:szCs w:val="24"/>
          <w:lang w:eastAsia="en-GB"/>
        </w:rPr>
      </w:pPr>
    </w:p>
    <w:tbl>
      <w:tblPr>
        <w:tblW w:w="9639" w:type="dxa"/>
        <w:tblInd w:w="-5" w:type="dxa"/>
        <w:tblBorders>
          <w:top w:val="single" w:sz="4" w:space="0" w:color="2E3036" w:themeColor="text2"/>
          <w:left w:val="single" w:sz="4" w:space="0" w:color="2E3036" w:themeColor="text2"/>
          <w:bottom w:val="single" w:sz="4" w:space="0" w:color="2E3036" w:themeColor="text2"/>
          <w:right w:val="single" w:sz="4" w:space="0" w:color="2E3036" w:themeColor="text2"/>
          <w:insideH w:val="single" w:sz="4" w:space="0" w:color="2E3036" w:themeColor="text2"/>
          <w:insideV w:val="single" w:sz="4" w:space="0" w:color="2E3036" w:themeColor="text2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EE2C2F" w:rsidRPr="00745905" w14:paraId="6A6CD32F" w14:textId="77777777" w:rsidTr="003D3E2B">
        <w:trPr>
          <w:trHeight w:val="680"/>
        </w:trPr>
        <w:tc>
          <w:tcPr>
            <w:tcW w:w="2835" w:type="dxa"/>
            <w:shd w:val="clear" w:color="auto" w:fill="E26A11" w:themeFill="text1"/>
            <w:vAlign w:val="center"/>
          </w:tcPr>
          <w:p w14:paraId="65A387EC" w14:textId="568332F8" w:rsidR="00EE2C2F" w:rsidRPr="00303651" w:rsidRDefault="00EE2C2F" w:rsidP="000278E3">
            <w:pPr>
              <w:spacing w:after="0"/>
              <w:rPr>
                <w:rFonts w:eastAsiaTheme="majorEastAsia" w:cstheme="minorHAnsi"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POST TITLE: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DA26796" w14:textId="7ACE3661" w:rsidR="00EE2C2F" w:rsidRPr="003D3E2B" w:rsidRDefault="00303651" w:rsidP="000278E3">
            <w:pPr>
              <w:spacing w:after="0"/>
              <w:rPr>
                <w:rFonts w:asciiTheme="majorHAnsi" w:eastAsiaTheme="majorEastAsia" w:hAnsiTheme="majorHAnsi" w:cstheme="majorHAnsi"/>
                <w:color w:val="2E3036" w:themeColor="text2"/>
              </w:rPr>
            </w:pPr>
            <w:r w:rsidRPr="003D3E2B">
              <w:rPr>
                <w:rFonts w:asciiTheme="majorHAnsi" w:eastAsiaTheme="majorEastAsia" w:hAnsiTheme="majorHAnsi" w:cstheme="majorHAnsi"/>
                <w:noProof/>
                <w:color w:val="2E3036" w:themeColor="text2"/>
                <w:lang w:eastAsia="en-GB"/>
              </w:rPr>
              <w:t xml:space="preserve">Data Analyst </w:t>
            </w:r>
          </w:p>
        </w:tc>
      </w:tr>
      <w:tr w:rsidR="00EE2C2F" w:rsidRPr="00745905" w14:paraId="78D56624" w14:textId="77777777" w:rsidTr="003D3E2B">
        <w:trPr>
          <w:trHeight w:val="680"/>
        </w:trPr>
        <w:tc>
          <w:tcPr>
            <w:tcW w:w="2835" w:type="dxa"/>
            <w:shd w:val="clear" w:color="auto" w:fill="E26A11" w:themeFill="text1"/>
            <w:vAlign w:val="center"/>
          </w:tcPr>
          <w:p w14:paraId="6BEEAF47" w14:textId="77777777" w:rsidR="00EE2C2F" w:rsidRPr="00303651" w:rsidRDefault="00EE2C2F" w:rsidP="000278E3">
            <w:pPr>
              <w:spacing w:after="0"/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REPORTS TO: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EC724A3" w14:textId="46A7E338" w:rsidR="00EE2C2F" w:rsidRPr="003D3E2B" w:rsidRDefault="00303651" w:rsidP="000278E3">
            <w:pPr>
              <w:spacing w:after="0"/>
              <w:rPr>
                <w:rFonts w:asciiTheme="majorHAnsi" w:eastAsiaTheme="majorEastAsia" w:hAnsiTheme="majorHAnsi" w:cstheme="majorHAnsi"/>
                <w:color w:val="2E3036" w:themeColor="text2"/>
              </w:rPr>
            </w:pPr>
            <w:r w:rsidRPr="003D3E2B">
              <w:rPr>
                <w:rFonts w:asciiTheme="majorHAnsi" w:eastAsiaTheme="majorEastAsia" w:hAnsiTheme="majorHAnsi" w:cstheme="majorHAnsi"/>
                <w:color w:val="2E3036" w:themeColor="text2"/>
              </w:rPr>
              <w:t>IT Manager</w:t>
            </w:r>
          </w:p>
        </w:tc>
      </w:tr>
      <w:tr w:rsidR="00EE2C2F" w:rsidRPr="00745905" w14:paraId="7E29109F" w14:textId="77777777" w:rsidTr="003D3E2B">
        <w:trPr>
          <w:trHeight w:val="1134"/>
        </w:trPr>
        <w:tc>
          <w:tcPr>
            <w:tcW w:w="2835" w:type="dxa"/>
            <w:shd w:val="clear" w:color="auto" w:fill="E26A11" w:themeFill="text1"/>
            <w:vAlign w:val="center"/>
          </w:tcPr>
          <w:p w14:paraId="2DBC669E" w14:textId="77777777" w:rsidR="00EE2C2F" w:rsidRPr="00303651" w:rsidRDefault="00EE2C2F" w:rsidP="000278E3">
            <w:pPr>
              <w:spacing w:after="0"/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</w:pPr>
            <w:r w:rsidRPr="00303651">
              <w:rPr>
                <w:rFonts w:eastAsiaTheme="majorEastAsia" w:cstheme="minorHAnsi"/>
                <w:b/>
                <w:bCs/>
                <w:color w:val="FFFFFF" w:themeColor="background1"/>
                <w:spacing w:val="40"/>
              </w:rPr>
              <w:t>ACCOUNTABLE FOR: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FB998D6" w14:textId="264C8FBF" w:rsidR="00EE2C2F" w:rsidRPr="003D3E2B" w:rsidRDefault="00303651" w:rsidP="00303651">
            <w:pPr>
              <w:spacing w:after="0"/>
              <w:rPr>
                <w:rFonts w:ascii="Calibri Light" w:eastAsia="Arial" w:hAnsi="Calibri Light" w:cs="Calibri Light"/>
                <w:color w:val="2E3036" w:themeColor="text2"/>
                <w:sz w:val="24"/>
                <w:szCs w:val="24"/>
              </w:rPr>
            </w:pPr>
            <w:r w:rsidRPr="003D3E2B">
              <w:rPr>
                <w:rFonts w:ascii="Calibri Light" w:eastAsia="Arial" w:hAnsi="Calibri Light" w:cs="Calibri Light"/>
                <w:color w:val="2E3036" w:themeColor="text2"/>
              </w:rPr>
              <w:t>Leading the data strategy whilst ensuring a high quality of data for the business</w:t>
            </w:r>
            <w:r w:rsidR="00A84BE5">
              <w:rPr>
                <w:rFonts w:ascii="Calibri Light" w:eastAsia="Arial" w:hAnsi="Calibri Light" w:cs="Calibri Light"/>
                <w:color w:val="2E3036" w:themeColor="text2"/>
              </w:rPr>
              <w:t>,</w:t>
            </w:r>
            <w:r w:rsidRPr="003D3E2B">
              <w:rPr>
                <w:rFonts w:ascii="Calibri Light" w:eastAsia="Arial" w:hAnsi="Calibri Light" w:cs="Calibri Light"/>
                <w:color w:val="2E3036" w:themeColor="text2"/>
              </w:rPr>
              <w:t xml:space="preserve"> to incorporate into business decisions </w:t>
            </w:r>
            <w:proofErr w:type="gramStart"/>
            <w:r w:rsidRPr="003D3E2B">
              <w:rPr>
                <w:rFonts w:ascii="Calibri Light" w:eastAsia="Arial" w:hAnsi="Calibri Light" w:cs="Calibri Light"/>
                <w:color w:val="2E3036" w:themeColor="text2"/>
              </w:rPr>
              <w:t>in order to</w:t>
            </w:r>
            <w:proofErr w:type="gramEnd"/>
            <w:r w:rsidRPr="003D3E2B">
              <w:rPr>
                <w:rFonts w:ascii="Calibri Light" w:eastAsia="Arial" w:hAnsi="Calibri Light" w:cs="Calibri Light"/>
                <w:color w:val="2E3036" w:themeColor="text2"/>
              </w:rPr>
              <w:t xml:space="preserve"> achieve the Company goals.</w:t>
            </w:r>
          </w:p>
        </w:tc>
      </w:tr>
    </w:tbl>
    <w:p w14:paraId="086F9D86" w14:textId="1DDC6699" w:rsidR="00EE2C2F" w:rsidRDefault="00EE2C2F" w:rsidP="00EE2C2F">
      <w:pPr>
        <w:pStyle w:val="Heading1"/>
        <w:rPr>
          <w:rFonts w:asciiTheme="majorHAnsi" w:eastAsiaTheme="majorEastAsia" w:hAnsiTheme="majorHAnsi" w:cstheme="majorHAnsi"/>
          <w:sz w:val="22"/>
          <w:szCs w:val="22"/>
        </w:rPr>
      </w:pPr>
    </w:p>
    <w:p w14:paraId="788A67F7" w14:textId="2EFEE954" w:rsidR="007F3EC2" w:rsidRPr="007F3EC2" w:rsidRDefault="007F3EC2" w:rsidP="007F3EC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2C2F" w:rsidRPr="005D1D94" w14:paraId="32215F83" w14:textId="77777777" w:rsidTr="00303651">
        <w:trPr>
          <w:trHeight w:val="368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F214" w14:textId="1BF81F98" w:rsidR="00EE2C2F" w:rsidRPr="005D1D94" w:rsidRDefault="00EE2C2F" w:rsidP="005D1D94">
            <w:pPr>
              <w:pStyle w:val="Heading1"/>
              <w:spacing w:after="240" w:line="276" w:lineRule="auto"/>
              <w:rPr>
                <w:rFonts w:asciiTheme="minorHAnsi" w:eastAsiaTheme="majorEastAsia" w:hAnsiTheme="minorHAnsi" w:cstheme="minorHAnsi"/>
                <w:b/>
                <w:bCs/>
                <w:color w:val="E26A11" w:themeColor="text1"/>
                <w:spacing w:val="40"/>
                <w:szCs w:val="24"/>
              </w:rPr>
            </w:pPr>
            <w:r w:rsidRPr="005D1D94">
              <w:rPr>
                <w:rFonts w:asciiTheme="minorHAnsi" w:eastAsiaTheme="majorEastAsia" w:hAnsiTheme="minorHAnsi" w:cstheme="minorHAnsi"/>
                <w:b/>
                <w:bCs/>
                <w:color w:val="E26A11" w:themeColor="text1"/>
                <w:spacing w:val="40"/>
                <w:szCs w:val="24"/>
              </w:rPr>
              <w:t>MAIN PURPOSE OF THE POST</w:t>
            </w:r>
          </w:p>
          <w:p w14:paraId="2A69A666" w14:textId="63E06763" w:rsidR="007A4523" w:rsidRPr="005D1D94" w:rsidRDefault="00303651" w:rsidP="005D1D94">
            <w:pPr>
              <w:spacing w:after="0" w:line="276" w:lineRule="auto"/>
              <w:rPr>
                <w:rFonts w:asciiTheme="majorHAnsi" w:hAnsiTheme="majorHAnsi" w:cstheme="majorHAnsi"/>
                <w:color w:val="2E3036" w:themeColor="text2"/>
              </w:rPr>
            </w:pPr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At PiXL, we are dedicated to improving life chances and student outcomes, influencing school </w:t>
            </w:r>
            <w:proofErr w:type="gramStart"/>
            <w:r w:rsidRPr="005D1D94">
              <w:rPr>
                <w:rFonts w:asciiTheme="majorHAnsi" w:hAnsiTheme="majorHAnsi" w:cstheme="majorHAnsi"/>
                <w:color w:val="2E3036" w:themeColor="text2"/>
              </w:rPr>
              <w:t>leaders</w:t>
            </w:r>
            <w:proofErr w:type="gramEnd"/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and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 xml:space="preserve"> 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>help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>ing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equip them to be agents of change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 xml:space="preserve"> and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educational excellence through innovation and insightful data use.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 xml:space="preserve"> 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>We're looking for a Data Manager / Analyst who will be instrumental in driving our data strategy and ensuring that our data practices support our mission.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 xml:space="preserve"> 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This person will take the lead on data strategy, data quality, </w:t>
            </w:r>
            <w:proofErr w:type="gramStart"/>
            <w:r w:rsidRPr="005D1D94">
              <w:rPr>
                <w:rFonts w:asciiTheme="majorHAnsi" w:hAnsiTheme="majorHAnsi" w:cstheme="majorHAnsi"/>
                <w:color w:val="2E3036" w:themeColor="text2"/>
              </w:rPr>
              <w:t>analysis</w:t>
            </w:r>
            <w:proofErr w:type="gramEnd"/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and governance across the organisation.</w:t>
            </w:r>
            <w:r w:rsidR="00A84BE5">
              <w:rPr>
                <w:rFonts w:asciiTheme="majorHAnsi" w:hAnsiTheme="majorHAnsi" w:cstheme="majorHAnsi"/>
                <w:color w:val="2E3036" w:themeColor="text2"/>
              </w:rPr>
              <w:t xml:space="preserve"> They</w:t>
            </w:r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will take ownership of the organisation's data ecosystem. Your role will ensure that our data assets are managed with </w:t>
            </w:r>
            <w:proofErr w:type="gramStart"/>
            <w:r w:rsidRPr="005D1D94">
              <w:rPr>
                <w:rFonts w:asciiTheme="majorHAnsi" w:hAnsiTheme="majorHAnsi" w:cstheme="majorHAnsi"/>
                <w:color w:val="2E3036" w:themeColor="text2"/>
              </w:rPr>
              <w:t>precision</w:t>
            </w:r>
            <w:proofErr w:type="gramEnd"/>
            <w:r w:rsidRPr="005D1D94">
              <w:rPr>
                <w:rFonts w:asciiTheme="majorHAnsi" w:hAnsiTheme="majorHAnsi" w:cstheme="majorHAnsi"/>
                <w:color w:val="2E3036" w:themeColor="text2"/>
              </w:rPr>
              <w:t xml:space="preserve"> and you will draw insights that shape our strategic direction. As the guardian of our data, you will ensure that it remains secure, robust and provides a platform for educational excellence.</w:t>
            </w:r>
          </w:p>
        </w:tc>
      </w:tr>
      <w:tr w:rsidR="00896E6F" w:rsidRPr="005D1D94" w14:paraId="4A5D1175" w14:textId="77777777" w:rsidTr="009D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14:paraId="4B082ABC" w14:textId="0B89A12B" w:rsidR="00F50A0B" w:rsidRPr="00A84BE5" w:rsidRDefault="009D414F" w:rsidP="005D1D94">
            <w:pPr>
              <w:spacing w:line="276" w:lineRule="auto"/>
              <w:rPr>
                <w:rFonts w:eastAsiaTheme="majorEastAsia" w:cstheme="minorHAnsi"/>
                <w:b/>
                <w:bCs/>
                <w:color w:val="E26A11" w:themeColor="text1"/>
                <w:spacing w:val="40"/>
                <w:sz w:val="24"/>
                <w:szCs w:val="24"/>
              </w:rPr>
            </w:pPr>
            <w:r w:rsidRPr="00A84BE5">
              <w:rPr>
                <w:rFonts w:eastAsiaTheme="majorEastAsia" w:cstheme="minorHAnsi"/>
                <w:b/>
                <w:bCs/>
                <w:color w:val="E26A11" w:themeColor="text1"/>
                <w:spacing w:val="40"/>
                <w:sz w:val="24"/>
                <w:szCs w:val="24"/>
              </w:rPr>
              <w:t>RESPONSIBILITIES</w:t>
            </w:r>
          </w:p>
          <w:p w14:paraId="3D914CB0" w14:textId="71262DD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Data Strategy and Governance: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  <w:t>-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>Designing and leading on the data strategy across the business.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  <w:t>-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 xml:space="preserve">Develop and oversee a data governance framework that ensures data integrity and 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>alignment with educational goals.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  <w:t>-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 xml:space="preserve">Formulate strategies for data utilisation and management, ensuring compliance with all 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>regulatory requirements.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  <w:t>-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 xml:space="preserve">Comply with data governance policies and regulations, ensuring that data is handled </w:t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br/>
            </w: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ab/>
              <w:t>securely and in accordance with industry standards.</w:t>
            </w:r>
          </w:p>
          <w:p w14:paraId="2F0A9519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ind w:left="360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0A37C718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Data Quality:</w:t>
            </w:r>
          </w:p>
          <w:p w14:paraId="2138197F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Implement processes to ensure the accuracy, relevance, and consistent formatting of all data.</w:t>
            </w:r>
          </w:p>
          <w:p w14:paraId="090F3E8E" w14:textId="6E99E6CC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Conduct regular data cleansing and validation to maintain the highest standards of data quality.</w:t>
            </w:r>
          </w:p>
          <w:p w14:paraId="503CEE3C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31288557" w14:textId="77777777" w:rsidR="003D3E2B" w:rsidRPr="00A84BE5" w:rsidRDefault="003D3E2B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054AB85B" w14:textId="77777777" w:rsidR="003D3E2B" w:rsidRPr="00A84BE5" w:rsidRDefault="003D3E2B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28DF78BF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lastRenderedPageBreak/>
              <w:t>Database Management and Integration:</w:t>
            </w:r>
          </w:p>
          <w:p w14:paraId="202802D7" w14:textId="32EB1EA0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Ensure data quality, consistency, and integrity, addressing any data-related issues as they arise</w:t>
            </w:r>
            <w:r w:rsidR="00A84BE5"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.</w:t>
            </w:r>
          </w:p>
          <w:p w14:paraId="1245CA55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Design, implement, and maintain databases that support organisational operations.</w:t>
            </w:r>
          </w:p>
          <w:p w14:paraId="71787A67" w14:textId="6115896B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Ensure seamless integration of databases across various systems and platforms.</w:t>
            </w:r>
          </w:p>
          <w:p w14:paraId="3E6B6DCD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35FCBACE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Data Security and Compliance:</w:t>
            </w:r>
          </w:p>
          <w:p w14:paraId="4AEBCB58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Safeguard sensitive data through robust protection measures and access controls.</w:t>
            </w:r>
          </w:p>
          <w:p w14:paraId="31D451AA" w14:textId="076F10FF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Develop and enforce policies and procedures for data security and comply with relevant legislation, such as GDPR.</w:t>
            </w:r>
          </w:p>
          <w:p w14:paraId="142B879A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394DB941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Backup and Recovery:</w:t>
            </w:r>
          </w:p>
          <w:p w14:paraId="75C8CBED" w14:textId="7D91D266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Establish and maintain backup protocols, disaster recovery plans, and conduct regular recovery tests to minimise data loss.</w:t>
            </w:r>
          </w:p>
          <w:p w14:paraId="7B35EB9B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334430B8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Analytics, Reporting, and Documentation:</w:t>
            </w:r>
          </w:p>
          <w:p w14:paraId="42881D93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Conduct data analysis identifying trends, patterns, and anomalies. Extracting actionable insights from data, to provide strategic recommendations for business growth.</w:t>
            </w:r>
          </w:p>
          <w:p w14:paraId="2C66F790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Generate reports and insights that contribute to informed decision-making across the institution.</w:t>
            </w:r>
          </w:p>
          <w:p w14:paraId="7BE66BB5" w14:textId="5320CD0B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Maintain comprehensive documentation of data processes and analytical findings.</w:t>
            </w:r>
          </w:p>
          <w:p w14:paraId="38AE88DB" w14:textId="77777777" w:rsidR="00303651" w:rsidRPr="00A84BE5" w:rsidRDefault="00303651" w:rsidP="005D1D94">
            <w:pPr>
              <w:pStyle w:val="ListParagraph"/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</w:p>
          <w:p w14:paraId="51BEE841" w14:textId="77777777" w:rsidR="00303651" w:rsidRPr="00A84BE5" w:rsidRDefault="00303651" w:rsidP="005D1D9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</w:pPr>
            <w:r w:rsidRPr="00A84BE5">
              <w:rPr>
                <w:rFonts w:asciiTheme="minorHAnsi" w:hAnsiTheme="minorHAnsi" w:cstheme="minorHAnsi"/>
                <w:b/>
                <w:color w:val="2E3036" w:themeColor="text2"/>
                <w:sz w:val="22"/>
                <w:szCs w:val="22"/>
              </w:rPr>
              <w:t>Education and Training:</w:t>
            </w:r>
          </w:p>
          <w:p w14:paraId="25A1166E" w14:textId="77777777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 xml:space="preserve">Lead initiatives to raise awareness of best practices for data management and responsible use, including the designing of training material and conducting </w:t>
            </w:r>
            <w:proofErr w:type="spellStart"/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traning</w:t>
            </w:r>
            <w:proofErr w:type="spellEnd"/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 xml:space="preserve"> activities.</w:t>
            </w:r>
          </w:p>
          <w:p w14:paraId="0379475F" w14:textId="173349C0" w:rsidR="00303651" w:rsidRPr="00A84BE5" w:rsidRDefault="00303651" w:rsidP="005D1D94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76" w:lineRule="auto"/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</w:pPr>
            <w:r w:rsidRPr="00A84BE5">
              <w:rPr>
                <w:rFonts w:ascii="Calibri Light" w:hAnsi="Calibri Light" w:cs="Calibri Light"/>
                <w:bCs/>
                <w:color w:val="2E3036" w:themeColor="text2"/>
                <w:sz w:val="22"/>
                <w:szCs w:val="22"/>
              </w:rPr>
              <w:t>Provide training to staff on best practice awareness, responsible use, data handling and literacy to foster a data-informed organisational culture.</w:t>
            </w:r>
          </w:p>
          <w:p w14:paraId="3E0B1623" w14:textId="0C4E4A0A" w:rsidR="00FB094A" w:rsidRPr="00A84BE5" w:rsidRDefault="00FB094A" w:rsidP="005D1D94">
            <w:pPr>
              <w:pStyle w:val="ListParagraph"/>
              <w:spacing w:line="276" w:lineRule="auto"/>
              <w:ind w:left="360"/>
              <w:contextualSpacing w:val="0"/>
              <w:rPr>
                <w:rFonts w:asciiTheme="majorHAnsi" w:hAnsiTheme="majorHAnsi" w:cstheme="majorHAnsi"/>
                <w:color w:val="2E3036" w:themeColor="text2"/>
                <w:sz w:val="22"/>
                <w:szCs w:val="22"/>
              </w:rPr>
            </w:pPr>
          </w:p>
        </w:tc>
      </w:tr>
      <w:tr w:rsidR="00303651" w:rsidRPr="005D1D94" w14:paraId="191444B4" w14:textId="77777777" w:rsidTr="009D4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shd w:val="clear" w:color="auto" w:fill="auto"/>
          </w:tcPr>
          <w:p w14:paraId="6F011F22" w14:textId="77777777" w:rsidR="00303651" w:rsidRPr="00A84BE5" w:rsidRDefault="00303651" w:rsidP="005D1D94">
            <w:pPr>
              <w:spacing w:line="276" w:lineRule="auto"/>
              <w:rPr>
                <w:rFonts w:asciiTheme="majorHAnsi" w:hAnsiTheme="majorHAnsi" w:cstheme="majorHAnsi"/>
                <w:noProof/>
                <w:color w:val="2E3036" w:themeColor="text2"/>
              </w:rPr>
            </w:pPr>
          </w:p>
        </w:tc>
      </w:tr>
    </w:tbl>
    <w:p w14:paraId="2577A47C" w14:textId="3FD3D136" w:rsidR="007F3EC2" w:rsidRPr="005D1D94" w:rsidRDefault="007F3EC2" w:rsidP="005D1D94">
      <w:pPr>
        <w:pStyle w:val="Heading1"/>
        <w:spacing w:after="240" w:line="276" w:lineRule="auto"/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</w:pPr>
      <w:r w:rsidRPr="005D1D94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t>PERSON SPECIFICATION</w:t>
      </w:r>
    </w:p>
    <w:p w14:paraId="2A202D3D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Exemplifies the PiXL values of integrity, kindness, and humility.</w:t>
      </w:r>
    </w:p>
    <w:p w14:paraId="2F7451AE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Has a keen interest in IT, the current industry, and future opportunities.</w:t>
      </w:r>
    </w:p>
    <w:p w14:paraId="1C6E55DB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Demonstratable competency in translating data to business leaders.</w:t>
      </w:r>
    </w:p>
    <w:p w14:paraId="4FE07DA3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Exceptional communication, interpersonal and training abilities.</w:t>
      </w:r>
    </w:p>
    <w:p w14:paraId="7240B033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Track record of delivering data that influenced significant commercial decisions.</w:t>
      </w:r>
    </w:p>
    <w:p w14:paraId="36B49A80" w14:textId="77777777" w:rsidR="0030365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Outstanding aptitude in analytical thinking, problem-solving </w:t>
      </w:r>
      <w:proofErr w:type="gramStart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capabilities</w:t>
      </w:r>
      <w:proofErr w:type="gramEnd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 and attention to detail.  </w:t>
      </w:r>
    </w:p>
    <w:p w14:paraId="5B190DAF" w14:textId="00670C45" w:rsidR="00EA6F01" w:rsidRPr="005D1D94" w:rsidRDefault="00303651" w:rsidP="005D1D94">
      <w:pPr>
        <w:pStyle w:val="ListParagraph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Understanding of business functions such as HR, Finance, marketing etc.</w:t>
      </w:r>
    </w:p>
    <w:p w14:paraId="0C4E578F" w14:textId="77777777" w:rsidR="00EA6F01" w:rsidRPr="005D1D94" w:rsidRDefault="00EA6F01" w:rsidP="005D1D94">
      <w:pPr>
        <w:spacing w:line="276" w:lineRule="auto"/>
        <w:rPr>
          <w:rFonts w:asciiTheme="majorHAnsi" w:eastAsia="Times New Roman" w:hAnsiTheme="majorHAnsi" w:cstheme="majorHAnsi"/>
          <w:color w:val="2E3036" w:themeColor="text2"/>
          <w:lang w:eastAsia="en-GB"/>
        </w:rPr>
      </w:pPr>
      <w:r w:rsidRPr="005D1D94">
        <w:rPr>
          <w:rFonts w:asciiTheme="majorHAnsi" w:hAnsiTheme="majorHAnsi" w:cstheme="majorHAnsi"/>
          <w:color w:val="2E3036" w:themeColor="text2"/>
        </w:rPr>
        <w:br w:type="page"/>
      </w:r>
    </w:p>
    <w:p w14:paraId="617F12B9" w14:textId="3481CE09" w:rsidR="00303651" w:rsidRPr="005D1D94" w:rsidRDefault="00EA6F01" w:rsidP="005D1D94">
      <w:pPr>
        <w:pStyle w:val="Heading1"/>
        <w:spacing w:after="240" w:line="276" w:lineRule="auto"/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</w:pPr>
      <w:r w:rsidRPr="005D1D94">
        <w:rPr>
          <w:rFonts w:asciiTheme="minorHAnsi" w:eastAsiaTheme="majorEastAsia" w:hAnsiTheme="minorHAnsi" w:cstheme="minorHAnsi"/>
          <w:b/>
          <w:bCs/>
          <w:color w:val="E26A11" w:themeColor="text1"/>
          <w:spacing w:val="40"/>
          <w:szCs w:val="24"/>
        </w:rPr>
        <w:lastRenderedPageBreak/>
        <w:t>QUALIFICATIONS AND DOMAIN EXPERIENCE</w:t>
      </w:r>
    </w:p>
    <w:p w14:paraId="4C9E1012" w14:textId="77777777" w:rsidR="00EA6F0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proofErr w:type="gramStart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Bachelor’s degree in Data Science</w:t>
      </w:r>
      <w:proofErr w:type="gramEnd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, Statistics, Computer Science, or related field.</w:t>
      </w:r>
    </w:p>
    <w:p w14:paraId="66DB4D9E" w14:textId="77777777" w:rsidR="00EA6F0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 xml:space="preserve">Demonstrable expertise on Microsoft Excel and </w:t>
      </w:r>
      <w:proofErr w:type="spellStart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PowerBI</w:t>
      </w:r>
      <w:proofErr w:type="spellEnd"/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.</w:t>
      </w:r>
    </w:p>
    <w:p w14:paraId="063D8EC7" w14:textId="77777777" w:rsidR="00EA6F0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Proven experience in data management or analysis, preferably within the education sector.</w:t>
      </w:r>
    </w:p>
    <w:p w14:paraId="029B1CBF" w14:textId="77777777" w:rsidR="00EA6F0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Strong understanding of database design, data modelling and data integration techniques.</w:t>
      </w:r>
    </w:p>
    <w:p w14:paraId="13AA848F" w14:textId="77777777" w:rsidR="00EA6F0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Proficiency in data analysis and reporting tools.</w:t>
      </w:r>
    </w:p>
    <w:p w14:paraId="5F14145F" w14:textId="409EE9E4" w:rsidR="00303651" w:rsidRPr="005D1D94" w:rsidRDefault="00EA6F01" w:rsidP="005D1D94">
      <w:pPr>
        <w:pStyle w:val="ListParagraph"/>
        <w:numPr>
          <w:ilvl w:val="0"/>
          <w:numId w:val="17"/>
        </w:numPr>
        <w:spacing w:line="276" w:lineRule="auto"/>
        <w:rPr>
          <w:rFonts w:asciiTheme="majorHAnsi" w:hAnsiTheme="majorHAnsi" w:cstheme="majorHAnsi"/>
          <w:color w:val="2E3036" w:themeColor="text2"/>
          <w:sz w:val="22"/>
          <w:szCs w:val="22"/>
        </w:rPr>
      </w:pPr>
      <w:r w:rsidRPr="005D1D94">
        <w:rPr>
          <w:rFonts w:asciiTheme="majorHAnsi" w:hAnsiTheme="majorHAnsi" w:cstheme="majorHAnsi"/>
          <w:color w:val="2E3036" w:themeColor="text2"/>
          <w:sz w:val="22"/>
          <w:szCs w:val="22"/>
        </w:rPr>
        <w:t>Knowledge of data protection regulations and compliance requirements.</w:t>
      </w:r>
    </w:p>
    <w:p w14:paraId="56F22DFA" w14:textId="77777777" w:rsidR="00303651" w:rsidRPr="00303651" w:rsidRDefault="00303651" w:rsidP="00303651">
      <w:pPr>
        <w:spacing w:line="276" w:lineRule="auto"/>
        <w:rPr>
          <w:rFonts w:asciiTheme="majorHAnsi" w:hAnsiTheme="majorHAnsi" w:cstheme="majorHAnsi"/>
          <w:color w:val="2E3036" w:themeColor="text2"/>
        </w:rPr>
      </w:pPr>
    </w:p>
    <w:sectPr w:rsidR="00303651" w:rsidRPr="00303651" w:rsidSect="00BD46C7">
      <w:headerReference w:type="default" r:id="rId11"/>
      <w:footerReference w:type="default" r:id="rId12"/>
      <w:pgSz w:w="11906" w:h="16838"/>
      <w:pgMar w:top="1701" w:right="1134" w:bottom="1985" w:left="1134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1660" w14:textId="77777777" w:rsidR="005B0AC5" w:rsidRDefault="005B0AC5" w:rsidP="00B2022C">
      <w:pPr>
        <w:spacing w:after="0" w:line="240" w:lineRule="auto"/>
      </w:pPr>
      <w:r>
        <w:separator/>
      </w:r>
    </w:p>
  </w:endnote>
  <w:endnote w:type="continuationSeparator" w:id="0">
    <w:p w14:paraId="52311E44" w14:textId="77777777" w:rsidR="005B0AC5" w:rsidRDefault="005B0AC5" w:rsidP="00B2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E5F9" w14:textId="73170A8B" w:rsidR="00B2022C" w:rsidRDefault="00BD46C7">
    <w:pPr>
      <w:pStyle w:val="Footer"/>
    </w:pP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fldChar w:fldCharType="begin"/>
    </w: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instrText xml:space="preserve"> PAGE   \* MERGEFORMAT </w:instrText>
    </w:r>
    <w:r w:rsidRPr="00BD46C7">
      <w:rPr>
        <w:rFonts w:cstheme="minorHAnsi"/>
        <w:b/>
        <w:bCs/>
        <w:color w:val="2E3036"/>
        <w:spacing w:val="40"/>
        <w:sz w:val="18"/>
        <w:szCs w:val="18"/>
        <w:lang w:val="en-US"/>
      </w:rPr>
      <w:fldChar w:fldCharType="separate"/>
    </w:r>
    <w:r w:rsidRPr="00BD46C7"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t>1</w:t>
    </w:r>
    <w:r w:rsidRPr="00BD46C7"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fldChar w:fldCharType="end"/>
    </w:r>
    <w:r>
      <w:rPr>
        <w:rFonts w:cstheme="minorHAnsi"/>
        <w:b/>
        <w:bCs/>
        <w:noProof/>
        <w:color w:val="2E3036"/>
        <w:spacing w:val="40"/>
        <w:sz w:val="18"/>
        <w:szCs w:val="18"/>
        <w:lang w:val="en-US"/>
      </w:rPr>
      <w:t xml:space="preserve">     </w:t>
    </w:r>
    <w:r w:rsidRPr="00B9052A">
      <w:rPr>
        <w:rFonts w:cstheme="minorHAnsi"/>
        <w:b/>
        <w:bCs/>
        <w:color w:val="2E3036"/>
        <w:spacing w:val="40"/>
        <w:sz w:val="18"/>
        <w:szCs w:val="18"/>
        <w:lang w:val="en-US"/>
      </w:rPr>
      <w:t xml:space="preserve">IGNITING </w:t>
    </w:r>
    <w:r w:rsidRPr="00B9052A">
      <w:rPr>
        <w:rFonts w:asciiTheme="majorHAnsi" w:hAnsiTheme="majorHAnsi" w:cstheme="majorHAnsi"/>
        <w:color w:val="2E3036"/>
        <w:spacing w:val="40"/>
        <w:sz w:val="18"/>
        <w:szCs w:val="18"/>
        <w:lang w:val="en-US"/>
      </w:rPr>
      <w:t>LEADERS</w:t>
    </w:r>
    <w:r w:rsidRPr="00B9052A">
      <w:rPr>
        <w:rFonts w:cstheme="minorHAnsi"/>
        <w:b/>
        <w:bCs/>
        <w:color w:val="2E3036"/>
        <w:spacing w:val="40"/>
        <w:sz w:val="18"/>
        <w:szCs w:val="18"/>
        <w:lang w:val="en-US"/>
      </w:rPr>
      <w:t xml:space="preserve">, CHANGING </w:t>
    </w:r>
    <w:r w:rsidRPr="00B9052A">
      <w:rPr>
        <w:rFonts w:asciiTheme="majorHAnsi" w:hAnsiTheme="majorHAnsi" w:cstheme="majorHAnsi"/>
        <w:color w:val="2E3036"/>
        <w:spacing w:val="40"/>
        <w:sz w:val="18"/>
        <w:szCs w:val="18"/>
        <w:lang w:val="en-US"/>
      </w:rPr>
      <w:t>LIVES</w:t>
    </w:r>
    <w:r>
      <w:rPr>
        <w:rFonts w:asciiTheme="majorHAnsi" w:hAnsiTheme="majorHAnsi" w:cstheme="majorHAnsi"/>
        <w:color w:val="2E3036"/>
        <w:sz w:val="18"/>
        <w:szCs w:val="18"/>
        <w:lang w:val="en-US"/>
      </w:rPr>
      <w:tab/>
    </w:r>
    <w:r>
      <w:rPr>
        <w:rFonts w:asciiTheme="majorHAnsi" w:hAnsiTheme="majorHAnsi" w:cstheme="majorHAnsi"/>
        <w:color w:val="2E3036"/>
        <w:sz w:val="20"/>
        <w:szCs w:val="20"/>
        <w:lang w:val="en-US"/>
      </w:rPr>
      <w:t xml:space="preserve"> </w:t>
    </w:r>
    <w:r w:rsidRPr="00B9052A">
      <w:rPr>
        <w:rFonts w:asciiTheme="majorHAnsi" w:hAnsiTheme="majorHAnsi" w:cstheme="majorHAnsi"/>
        <w:i/>
        <w:iCs/>
        <w:color w:val="2E3036"/>
        <w:sz w:val="18"/>
        <w:szCs w:val="18"/>
        <w:lang w:val="en-US"/>
      </w:rPr>
      <w:t>www.pixl.org.uk</w:t>
    </w:r>
    <w:r>
      <w:rPr>
        <w:noProof/>
      </w:rPr>
      <w:t xml:space="preserve"> </w:t>
    </w:r>
    <w:r w:rsidR="00B2022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49EDC" wp14:editId="6709BF7B">
              <wp:simplePos x="0" y="0"/>
              <wp:positionH relativeFrom="column">
                <wp:posOffset>-716915</wp:posOffset>
              </wp:positionH>
              <wp:positionV relativeFrom="margin">
                <wp:posOffset>9073515</wp:posOffset>
              </wp:positionV>
              <wp:extent cx="7560000" cy="540000"/>
              <wp:effectExtent l="0" t="0" r="317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40000"/>
                      </a:xfrm>
                      <a:prstGeom prst="rect">
                        <a:avLst/>
                      </a:prstGeom>
                      <a:solidFill>
                        <a:srgbClr val="F583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ECD9E" id="Rectangle 11" o:spid="_x0000_s1026" style="position:absolute;margin-left:-56.45pt;margin-top:714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IoeQIAAF8FAAAOAAAAZHJzL2Uyb0RvYy54bWysVM1u2zAMvg/YOwi6r07SpO2COkXQIsOA&#10;og3aDj0rshQbkEWNUuJkTz9KdpysLXYY5oNMiuTHH5G8vtnVhm0V+gpszodnA86UlVBUdp3zHy+L&#10;L1ec+SBsIQxYlfO98vxm9vnTdeOmagQlmEIhIxDrp43LeRmCm2aZl6WqhT8DpywJNWAtArG4zgoU&#10;DaHXJhsNBhdZA1g4BKm8p9u7VshnCV9rJcOj1l4FZnJOsYV0YjpX8cxm12K6RuHKSnZhiH+IohaV&#10;Jac91J0Igm2wegdVVxLBgw5nEuoMtK6kSjlQNsPBm2yeS+FUyoWK411fJv//YOXD9tktkcrQOD/1&#10;RMYsdhrr+Kf42C4Va98XS+0Ck3R5ObkY0MeZJNlknGiCyY7WDn34pqBmkcg50mOkGontvQ+t6kEl&#10;OvNgqmJRGZMYXK9uDbKtoIdbTK7Oz8fxrQj9DzVjo7KFaNaK4012zCVRYW9U1DP2SWlWFRT9KEWS&#10;2kz1foSUyoZhKypFoVr3k5PceosUSwKMyJr899gdQGzh99htlJ1+NFWpS3vjwd8Ca417i+QZbOiN&#10;68oCfgRgKKvOc6t/KFJbmlilFRT7JTKEdka8k4uK3u1e+LAUSENBT02DHh7p0AaanENHcVYC/vro&#10;PupTr5KUs4aGLOf+50ag4sx8t9TFX4fjcZzKxIwnlyNi8FSyOpXYTX0L1A5DWilOJjLqB3MgNUL9&#10;SvtgHr2SSFhJvnMuAx6Y29AOP20UqebzpEaT6ES4t89ORvBY1diXL7tXga5r3kBt/wCHgRTTNz3c&#10;6kZLC/NNAF2lBj/Wtas3TXFqnG7jxDVxyiet416c/QYAAP//AwBQSwMEFAAGAAgAAAAhAODExUji&#10;AAAADwEAAA8AAABkcnMvZG93bnJldi54bWxMj0tPwzAQhO9I/Adrkbig1k54pA1xKoTggHoi8APc&#10;ZPNQ44dsJ0359WxPcJvVfJqdKXaLHtmMPgzWSEjWAhia2jaD6SR8f72vNsBCVKZRozUo4YwBduX1&#10;VaHyxp7MJ85V7BiFmJArCX2MLuc81D1qFdbWoSGvtV6rSKfveOPVicL1yFMhnrhWg6EPvXL42mN9&#10;rCYt4e3HCXdGfpx8i+2+upv9R2ylvL1ZXp6BRVziHwyX+lQdSup0sJNpAhslrJIk3RJLzkO6IXVh&#10;RJZlwA6kHpP7LfCy4P93lL8AAAD//wMAUEsBAi0AFAAGAAgAAAAhALaDOJL+AAAA4QEAABMAAAAA&#10;AAAAAAAAAAAAAAAAAFtDb250ZW50X1R5cGVzXS54bWxQSwECLQAUAAYACAAAACEAOP0h/9YAAACU&#10;AQAACwAAAAAAAAAAAAAAAAAvAQAAX3JlbHMvLnJlbHNQSwECLQAUAAYACAAAACEAD0nCKHkCAABf&#10;BQAADgAAAAAAAAAAAAAAAAAuAgAAZHJzL2Uyb0RvYy54bWxQSwECLQAUAAYACAAAACEA4MTFSOIA&#10;AAAPAQAADwAAAAAAAAAAAAAAAADTBAAAZHJzL2Rvd25yZXYueG1sUEsFBgAAAAAEAAQA8wAAAOIF&#10;AAAAAA==&#10;" fillcolor="#f58334" stroked="f" strokeweight="1pt"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BE2B" w14:textId="77777777" w:rsidR="005B0AC5" w:rsidRDefault="005B0AC5" w:rsidP="00B2022C">
      <w:pPr>
        <w:spacing w:after="0" w:line="240" w:lineRule="auto"/>
      </w:pPr>
      <w:r>
        <w:separator/>
      </w:r>
    </w:p>
  </w:footnote>
  <w:footnote w:type="continuationSeparator" w:id="0">
    <w:p w14:paraId="585FE11F" w14:textId="77777777" w:rsidR="005B0AC5" w:rsidRDefault="005B0AC5" w:rsidP="00B2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8C00" w14:textId="32EE1C18" w:rsidR="00B2022C" w:rsidRPr="00C60F9D" w:rsidRDefault="00C60F9D" w:rsidP="00C60F9D">
    <w:pPr>
      <w:pStyle w:val="Footer"/>
      <w:rPr>
        <w:rFonts w:ascii="Calibri Light" w:hAnsi="Calibri Light" w:cs="Calibri Light"/>
        <w:bCs/>
        <w:color w:val="2E3036"/>
        <w:sz w:val="18"/>
        <w:szCs w:val="18"/>
      </w:rPr>
    </w:pPr>
    <w:r w:rsidRPr="00C60F9D">
      <w:rPr>
        <w:noProof/>
        <w:color w:val="2E3036"/>
      </w:rPr>
      <w:drawing>
        <wp:anchor distT="0" distB="0" distL="114300" distR="114300" simplePos="0" relativeHeight="251661312" behindDoc="1" locked="0" layoutInCell="1" allowOverlap="1" wp14:anchorId="1FCEA3CB" wp14:editId="1A48DAE2">
          <wp:simplePos x="0" y="0"/>
          <wp:positionH relativeFrom="column">
            <wp:posOffset>5288915</wp:posOffset>
          </wp:positionH>
          <wp:positionV relativeFrom="paragraph">
            <wp:posOffset>-66675</wp:posOffset>
          </wp:positionV>
          <wp:extent cx="1097280" cy="428625"/>
          <wp:effectExtent l="0" t="0" r="7620" b="952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93" t="28274" r="11504" b="26552"/>
                  <a:stretch/>
                </pic:blipFill>
                <pic:spPr bwMode="auto">
                  <a:xfrm>
                    <a:off x="0" y="0"/>
                    <a:ext cx="109728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3C9" w:rsidRPr="00C60F9D">
      <w:rPr>
        <w:rFonts w:ascii="Calibri Light" w:hAnsi="Calibri Light" w:cs="Calibri Light"/>
        <w:bCs/>
        <w:color w:val="2E3036"/>
        <w:sz w:val="18"/>
        <w:szCs w:val="18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58"/>
    <w:multiLevelType w:val="hybridMultilevel"/>
    <w:tmpl w:val="993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32D"/>
    <w:multiLevelType w:val="hybridMultilevel"/>
    <w:tmpl w:val="E390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7BDB"/>
    <w:multiLevelType w:val="hybridMultilevel"/>
    <w:tmpl w:val="9186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953"/>
    <w:multiLevelType w:val="hybridMultilevel"/>
    <w:tmpl w:val="22A2F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A39A2"/>
    <w:multiLevelType w:val="hybridMultilevel"/>
    <w:tmpl w:val="CB6202E0"/>
    <w:lvl w:ilvl="0" w:tplc="9C96AD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F6D6A"/>
    <w:multiLevelType w:val="hybridMultilevel"/>
    <w:tmpl w:val="5864873C"/>
    <w:lvl w:ilvl="0" w:tplc="9C96AD8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B405E"/>
    <w:multiLevelType w:val="hybridMultilevel"/>
    <w:tmpl w:val="20A6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2CDA"/>
    <w:multiLevelType w:val="hybridMultilevel"/>
    <w:tmpl w:val="95EC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2C1"/>
    <w:multiLevelType w:val="hybridMultilevel"/>
    <w:tmpl w:val="BA944A8C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008C6"/>
    <w:multiLevelType w:val="hybridMultilevel"/>
    <w:tmpl w:val="45ECC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81437"/>
    <w:multiLevelType w:val="hybridMultilevel"/>
    <w:tmpl w:val="E2CA17E2"/>
    <w:lvl w:ilvl="0" w:tplc="EFFC18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A662E"/>
    <w:multiLevelType w:val="hybridMultilevel"/>
    <w:tmpl w:val="9654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552CC"/>
    <w:multiLevelType w:val="hybridMultilevel"/>
    <w:tmpl w:val="6376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809EF"/>
    <w:multiLevelType w:val="hybridMultilevel"/>
    <w:tmpl w:val="90BAB2B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777A6836"/>
    <w:multiLevelType w:val="hybridMultilevel"/>
    <w:tmpl w:val="510C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F1532"/>
    <w:multiLevelType w:val="hybridMultilevel"/>
    <w:tmpl w:val="C9F67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3C5"/>
    <w:multiLevelType w:val="multilevel"/>
    <w:tmpl w:val="AC6644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0363442">
    <w:abstractNumId w:val="12"/>
  </w:num>
  <w:num w:numId="2" w16cid:durableId="205920311">
    <w:abstractNumId w:val="6"/>
  </w:num>
  <w:num w:numId="3" w16cid:durableId="656348436">
    <w:abstractNumId w:val="13"/>
  </w:num>
  <w:num w:numId="4" w16cid:durableId="839196030">
    <w:abstractNumId w:val="7"/>
  </w:num>
  <w:num w:numId="5" w16cid:durableId="820855771">
    <w:abstractNumId w:val="14"/>
  </w:num>
  <w:num w:numId="6" w16cid:durableId="1134981055">
    <w:abstractNumId w:val="9"/>
  </w:num>
  <w:num w:numId="7" w16cid:durableId="1938902641">
    <w:abstractNumId w:val="1"/>
  </w:num>
  <w:num w:numId="8" w16cid:durableId="415977441">
    <w:abstractNumId w:val="16"/>
  </w:num>
  <w:num w:numId="9" w16cid:durableId="884099290">
    <w:abstractNumId w:val="11"/>
  </w:num>
  <w:num w:numId="10" w16cid:durableId="1081292412">
    <w:abstractNumId w:val="5"/>
  </w:num>
  <w:num w:numId="11" w16cid:durableId="918055015">
    <w:abstractNumId w:val="15"/>
  </w:num>
  <w:num w:numId="12" w16cid:durableId="1052266083">
    <w:abstractNumId w:val="0"/>
  </w:num>
  <w:num w:numId="13" w16cid:durableId="1936278279">
    <w:abstractNumId w:val="2"/>
  </w:num>
  <w:num w:numId="14" w16cid:durableId="1291666138">
    <w:abstractNumId w:val="10"/>
  </w:num>
  <w:num w:numId="15" w16cid:durableId="745956423">
    <w:abstractNumId w:val="8"/>
  </w:num>
  <w:num w:numId="16" w16cid:durableId="1541891816">
    <w:abstractNumId w:val="3"/>
  </w:num>
  <w:num w:numId="17" w16cid:durableId="95159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2C"/>
    <w:rsid w:val="00032E9A"/>
    <w:rsid w:val="000A0430"/>
    <w:rsid w:val="000E4CA0"/>
    <w:rsid w:val="001679E6"/>
    <w:rsid w:val="0022458E"/>
    <w:rsid w:val="002669EA"/>
    <w:rsid w:val="002C1257"/>
    <w:rsid w:val="002C3CB3"/>
    <w:rsid w:val="002C50CA"/>
    <w:rsid w:val="002D1890"/>
    <w:rsid w:val="002D496F"/>
    <w:rsid w:val="00303651"/>
    <w:rsid w:val="003410E8"/>
    <w:rsid w:val="00342D82"/>
    <w:rsid w:val="00354083"/>
    <w:rsid w:val="00355600"/>
    <w:rsid w:val="003704BB"/>
    <w:rsid w:val="003D3E2B"/>
    <w:rsid w:val="00465AA9"/>
    <w:rsid w:val="004779D3"/>
    <w:rsid w:val="00492404"/>
    <w:rsid w:val="00497A3E"/>
    <w:rsid w:val="004E0280"/>
    <w:rsid w:val="004F2A6C"/>
    <w:rsid w:val="00502B64"/>
    <w:rsid w:val="00531585"/>
    <w:rsid w:val="005B0AC5"/>
    <w:rsid w:val="005C1291"/>
    <w:rsid w:val="005C4609"/>
    <w:rsid w:val="005D1D94"/>
    <w:rsid w:val="005F0933"/>
    <w:rsid w:val="00632313"/>
    <w:rsid w:val="0064068A"/>
    <w:rsid w:val="00657A70"/>
    <w:rsid w:val="006773CD"/>
    <w:rsid w:val="00677B8C"/>
    <w:rsid w:val="006A7042"/>
    <w:rsid w:val="006B0C63"/>
    <w:rsid w:val="006B0C8F"/>
    <w:rsid w:val="006B40FD"/>
    <w:rsid w:val="006F1AA7"/>
    <w:rsid w:val="00734A9B"/>
    <w:rsid w:val="007A4523"/>
    <w:rsid w:val="007D7385"/>
    <w:rsid w:val="007F3EC2"/>
    <w:rsid w:val="0080312E"/>
    <w:rsid w:val="00827B03"/>
    <w:rsid w:val="00864145"/>
    <w:rsid w:val="00896E6F"/>
    <w:rsid w:val="00897B10"/>
    <w:rsid w:val="008C735F"/>
    <w:rsid w:val="008D0EDD"/>
    <w:rsid w:val="008D2960"/>
    <w:rsid w:val="00932C64"/>
    <w:rsid w:val="009839BE"/>
    <w:rsid w:val="009B63C9"/>
    <w:rsid w:val="009D414F"/>
    <w:rsid w:val="00A02303"/>
    <w:rsid w:val="00A03787"/>
    <w:rsid w:val="00A370F4"/>
    <w:rsid w:val="00A84BE5"/>
    <w:rsid w:val="00A951EC"/>
    <w:rsid w:val="00AE5B1A"/>
    <w:rsid w:val="00B11105"/>
    <w:rsid w:val="00B17846"/>
    <w:rsid w:val="00B2022C"/>
    <w:rsid w:val="00BB723E"/>
    <w:rsid w:val="00BD46C7"/>
    <w:rsid w:val="00BF00D1"/>
    <w:rsid w:val="00BF0236"/>
    <w:rsid w:val="00C41AD0"/>
    <w:rsid w:val="00C60F9D"/>
    <w:rsid w:val="00C65C66"/>
    <w:rsid w:val="00C80B88"/>
    <w:rsid w:val="00C815EA"/>
    <w:rsid w:val="00C8541E"/>
    <w:rsid w:val="00CB1DB1"/>
    <w:rsid w:val="00CC6C3C"/>
    <w:rsid w:val="00CE70BA"/>
    <w:rsid w:val="00D13EB9"/>
    <w:rsid w:val="00D528CD"/>
    <w:rsid w:val="00D82271"/>
    <w:rsid w:val="00DD7116"/>
    <w:rsid w:val="00DE445A"/>
    <w:rsid w:val="00EA09A9"/>
    <w:rsid w:val="00EA6F01"/>
    <w:rsid w:val="00EC23DD"/>
    <w:rsid w:val="00ED01EF"/>
    <w:rsid w:val="00EE2C2F"/>
    <w:rsid w:val="00F12980"/>
    <w:rsid w:val="00F20AEE"/>
    <w:rsid w:val="00F50A0B"/>
    <w:rsid w:val="00F82E0B"/>
    <w:rsid w:val="00FB094A"/>
    <w:rsid w:val="00FD12A2"/>
    <w:rsid w:val="0182CA6A"/>
    <w:rsid w:val="09730CB9"/>
    <w:rsid w:val="0A0D1EF8"/>
    <w:rsid w:val="0B405E64"/>
    <w:rsid w:val="0B4222E1"/>
    <w:rsid w:val="0DCFC30C"/>
    <w:rsid w:val="11F86111"/>
    <w:rsid w:val="1667B217"/>
    <w:rsid w:val="2926DD8B"/>
    <w:rsid w:val="2AA4CC42"/>
    <w:rsid w:val="2FCE49E8"/>
    <w:rsid w:val="31F14C24"/>
    <w:rsid w:val="368D654D"/>
    <w:rsid w:val="36E9A4A1"/>
    <w:rsid w:val="3D58E625"/>
    <w:rsid w:val="42A4151D"/>
    <w:rsid w:val="45FACAA1"/>
    <w:rsid w:val="492AE06F"/>
    <w:rsid w:val="4A395C56"/>
    <w:rsid w:val="4A6208CF"/>
    <w:rsid w:val="4C46F8D5"/>
    <w:rsid w:val="4CA7D9C7"/>
    <w:rsid w:val="5375960A"/>
    <w:rsid w:val="56FEB701"/>
    <w:rsid w:val="59732ECF"/>
    <w:rsid w:val="5E469FF2"/>
    <w:rsid w:val="61652C58"/>
    <w:rsid w:val="61BF398A"/>
    <w:rsid w:val="64D05FF3"/>
    <w:rsid w:val="698EFD8D"/>
    <w:rsid w:val="69C6B337"/>
    <w:rsid w:val="6B4FF75E"/>
    <w:rsid w:val="7053293D"/>
    <w:rsid w:val="7078FE10"/>
    <w:rsid w:val="72E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A430A"/>
  <w15:chartTrackingRefBased/>
  <w15:docId w15:val="{0832CC98-9795-4D13-91D6-16C7946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C2"/>
  </w:style>
  <w:style w:type="paragraph" w:styleId="Heading1">
    <w:name w:val="heading 1"/>
    <w:basedOn w:val="Normal"/>
    <w:next w:val="Normal"/>
    <w:link w:val="Heading1Char"/>
    <w:qFormat/>
    <w:rsid w:val="00734A9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22C"/>
  </w:style>
  <w:style w:type="paragraph" w:styleId="Footer">
    <w:name w:val="footer"/>
    <w:basedOn w:val="Normal"/>
    <w:link w:val="FooterChar"/>
    <w:uiPriority w:val="99"/>
    <w:unhideWhenUsed/>
    <w:rsid w:val="00B2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22C"/>
  </w:style>
  <w:style w:type="character" w:customStyle="1" w:styleId="eop">
    <w:name w:val="eop"/>
    <w:basedOn w:val="DefaultParagraphFont"/>
    <w:rsid w:val="00B2022C"/>
  </w:style>
  <w:style w:type="paragraph" w:styleId="ListParagraph">
    <w:name w:val="List Paragraph"/>
    <w:basedOn w:val="Normal"/>
    <w:uiPriority w:val="34"/>
    <w:qFormat/>
    <w:rsid w:val="00B20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2">
    <w:name w:val="Grid Table 2 Accent 2"/>
    <w:basedOn w:val="TableNormal"/>
    <w:uiPriority w:val="47"/>
    <w:rsid w:val="00B2022C"/>
    <w:pPr>
      <w:spacing w:after="0" w:line="240" w:lineRule="auto"/>
    </w:pPr>
    <w:tblPr>
      <w:tblStyleRowBandSize w:val="1"/>
      <w:tblStyleColBandSize w:val="1"/>
      <w:tblBorders>
        <w:top w:val="single" w:sz="2" w:space="0" w:color="CCE7F3" w:themeColor="accent2" w:themeTint="99"/>
        <w:bottom w:val="single" w:sz="2" w:space="0" w:color="CCE7F3" w:themeColor="accent2" w:themeTint="99"/>
        <w:insideH w:val="single" w:sz="2" w:space="0" w:color="CCE7F3" w:themeColor="accent2" w:themeTint="99"/>
        <w:insideV w:val="single" w:sz="2" w:space="0" w:color="CCE7F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7F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7F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7FB" w:themeFill="accent2" w:themeFillTint="33"/>
      </w:tcPr>
    </w:tblStylePr>
    <w:tblStylePr w:type="band1Horz">
      <w:tblPr/>
      <w:tcPr>
        <w:shd w:val="clear" w:color="auto" w:fill="EEF7FB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D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34A9B"/>
    <w:rPr>
      <w:rFonts w:ascii="Arial" w:eastAsia="Times New Roman" w:hAnsi="Arial" w:cs="Times New Roman"/>
      <w:sz w:val="24"/>
      <w:szCs w:val="20"/>
    </w:rPr>
  </w:style>
  <w:style w:type="paragraph" w:customStyle="1" w:styleId="paragraph">
    <w:name w:val="paragraph"/>
    <w:basedOn w:val="Normal"/>
    <w:rsid w:val="00D5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28CD"/>
  </w:style>
  <w:style w:type="character" w:styleId="CommentReference">
    <w:name w:val="annotation reference"/>
    <w:basedOn w:val="DefaultParagraphFont"/>
    <w:uiPriority w:val="99"/>
    <w:semiHidden/>
    <w:unhideWhenUsed/>
    <w:rsid w:val="00CE7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0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iXL Branding 22">
      <a:dk1>
        <a:srgbClr val="E26A11"/>
      </a:dk1>
      <a:lt1>
        <a:srgbClr val="FFFFFF"/>
      </a:lt1>
      <a:dk2>
        <a:srgbClr val="2E3036"/>
      </a:dk2>
      <a:lt2>
        <a:srgbClr val="FFFFFF"/>
      </a:lt2>
      <a:accent1>
        <a:srgbClr val="EDA39E"/>
      </a:accent1>
      <a:accent2>
        <a:srgbClr val="ABD8EC"/>
      </a:accent2>
      <a:accent3>
        <a:srgbClr val="87CCCF"/>
      </a:accent3>
      <a:accent4>
        <a:srgbClr val="F0E3C2"/>
      </a:accent4>
      <a:accent5>
        <a:srgbClr val="96989A"/>
      </a:accent5>
      <a:accent6>
        <a:srgbClr val="D5D6D7"/>
      </a:accent6>
      <a:hlink>
        <a:srgbClr val="87CCCF"/>
      </a:hlink>
      <a:folHlink>
        <a:srgbClr val="E26A1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14364-a569-4b41-a6e5-937fc094d66f">
      <UserInfo>
        <DisplayName/>
        <AccountId xsi:nil="true"/>
        <AccountType/>
      </UserInfo>
    </SharedWithUsers>
    <lcf76f155ced4ddcb4097134ff3c332f xmlns="8aab6dee-8e42-4b59-8db7-b58a76a6585b">
      <Terms xmlns="http://schemas.microsoft.com/office/infopath/2007/PartnerControls"/>
    </lcf76f155ced4ddcb4097134ff3c332f>
    <TaxCatchAll xmlns="d4714364-a569-4b41-a6e5-937fc094d66f" xsi:nil="true"/>
    <MediaLengthInSeconds xmlns="8aab6dee-8e42-4b59-8db7-b58a76a65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0284E45B52F41B834C7AB694D12CD" ma:contentTypeVersion="16" ma:contentTypeDescription="Create a new document." ma:contentTypeScope="" ma:versionID="d919d1ef525daf4db9ee15189c36750a">
  <xsd:schema xmlns:xsd="http://www.w3.org/2001/XMLSchema" xmlns:xs="http://www.w3.org/2001/XMLSchema" xmlns:p="http://schemas.microsoft.com/office/2006/metadata/properties" xmlns:ns2="8aab6dee-8e42-4b59-8db7-b58a76a6585b" xmlns:ns3="d4714364-a569-4b41-a6e5-937fc094d66f" targetNamespace="http://schemas.microsoft.com/office/2006/metadata/properties" ma:root="true" ma:fieldsID="e20b8fbd9a96aa12ee8a41eb1a55db0c" ns2:_="" ns3:_="">
    <xsd:import namespace="8aab6dee-8e42-4b59-8db7-b58a76a6585b"/>
    <xsd:import namespace="d4714364-a569-4b41-a6e5-937fc094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b6dee-8e42-4b59-8db7-b58a76a65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dfdb1f-3c29-4bd5-8640-66fb358a1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14364-a569-4b41-a6e5-937fc094d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55fa6ce-b476-4f89-9a50-e7f84a4195b7}" ma:internalName="TaxCatchAll" ma:showField="CatchAllData" ma:web="d4714364-a569-4b41-a6e5-937fc094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441A5-F9F7-4E69-B86F-07C1A773B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87314-5824-42E8-8B49-83C1E5BC3620}">
  <ds:schemaRefs>
    <ds:schemaRef ds:uri="http://schemas.microsoft.com/office/2006/metadata/properties"/>
    <ds:schemaRef ds:uri="http://schemas.microsoft.com/office/infopath/2007/PartnerControls"/>
    <ds:schemaRef ds:uri="d4714364-a569-4b41-a6e5-937fc094d66f"/>
    <ds:schemaRef ds:uri="8aab6dee-8e42-4b59-8db7-b58a76a6585b"/>
  </ds:schemaRefs>
</ds:datastoreItem>
</file>

<file path=customXml/itemProps3.xml><?xml version="1.0" encoding="utf-8"?>
<ds:datastoreItem xmlns:ds="http://schemas.openxmlformats.org/officeDocument/2006/customXml" ds:itemID="{4FC41FEC-EECC-41CE-8F71-490503459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b6dee-8e42-4b59-8db7-b58a76a6585b"/>
    <ds:schemaRef ds:uri="d4714364-a569-4b41-a6e5-937fc094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Sagar</dc:creator>
  <cp:keywords/>
  <dc:description/>
  <cp:lastModifiedBy>Danielle Hill</cp:lastModifiedBy>
  <cp:revision>5</cp:revision>
  <dcterms:created xsi:type="dcterms:W3CDTF">2023-11-16T16:31:00Z</dcterms:created>
  <dcterms:modified xsi:type="dcterms:W3CDTF">2023-11-22T08:02:00Z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0x01010037E0284E45B52F41B834C7AB694D12CD</vt:lpwstr>
  </property>
  <property fmtid="{D5CDD505-2E9C-101B-9397-08002B2CF9AE}" pid="3" name="Order">
    <vt:r8>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